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19E7" w:rsidRDefault="005419E7" w:rsidP="00BF39D8">
            <w:pPr>
              <w:rPr>
                <w:rFonts w:ascii="Times New Roman" w:hAnsi="Times New Roman" w:cs="Times New Roman"/>
                <w:lang w:eastAsia="uk-UA"/>
              </w:rPr>
            </w:pPr>
            <w:r w:rsidRPr="005419E7">
              <w:rPr>
                <w:rFonts w:ascii="Times New Roman" w:hAnsi="Times New Roman" w:cs="Times New Roman"/>
                <w:lang w:eastAsia="uk-UA"/>
              </w:rPr>
              <w:t>Труби для систем опалення та супутні вироби</w:t>
            </w:r>
            <w:r w:rsidRPr="005419E7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:rsidR="008941A1" w:rsidRPr="00B7585B" w:rsidRDefault="008941A1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5419E7" w:rsidRPr="005419E7">
              <w:rPr>
                <w:rFonts w:ascii="Times New Roman" w:hAnsi="Times New Roman" w:cs="Times New Roman"/>
              </w:rPr>
              <w:t>44160000-9 - Магістралі, трубопроводи, труби, обсадні труби, тюбінги та супутні вироби</w:t>
            </w:r>
            <w:r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5BE5" w:rsidRPr="00B7585B" w:rsidRDefault="006B6BED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 xml:space="preserve"> відкриті торги з особливостями</w:t>
            </w:r>
          </w:p>
          <w:p w:rsidR="008941A1" w:rsidRPr="00B7585B" w:rsidRDefault="005419E7" w:rsidP="00BF39D8">
            <w:pPr>
              <w:rPr>
                <w:rFonts w:ascii="Times New Roman" w:hAnsi="Times New Roman" w:cs="Times New Roman"/>
              </w:rPr>
            </w:pPr>
            <w:r w:rsidRPr="005419E7">
              <w:rPr>
                <w:rFonts w:ascii="Times New Roman" w:hAnsi="Times New Roman" w:cs="Times New Roman"/>
              </w:rPr>
              <w:t>UA-2024-05-08-011081-a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6BED" w:rsidRPr="00B7585B" w:rsidRDefault="005419E7" w:rsidP="00BF39D8">
            <w:pPr>
              <w:rPr>
                <w:rFonts w:ascii="Times New Roman" w:hAnsi="Times New Roman" w:cs="Times New Roman"/>
              </w:rPr>
            </w:pPr>
            <w:r w:rsidRPr="005419E7">
              <w:rPr>
                <w:rFonts w:ascii="Times New Roman" w:hAnsi="Times New Roman" w:cs="Times New Roman"/>
              </w:rPr>
              <w:t>103 000</w:t>
            </w:r>
            <w:r w:rsidR="004E663C" w:rsidRPr="00B7585B">
              <w:rPr>
                <w:rFonts w:ascii="Times New Roman" w:hAnsi="Times New Roman" w:cs="Times New Roman"/>
              </w:rPr>
              <w:t>,</w:t>
            </w:r>
            <w:r w:rsidR="005327E9" w:rsidRPr="00B7585B">
              <w:rPr>
                <w:rFonts w:ascii="Times New Roman" w:hAnsi="Times New Roman" w:cs="Times New Roman"/>
              </w:rPr>
              <w:t>00</w:t>
            </w:r>
            <w:r w:rsidR="008452BE" w:rsidRPr="00B7585B">
              <w:rPr>
                <w:rFonts w:ascii="Times New Roman" w:hAnsi="Times New Roman" w:cs="Times New Roman"/>
              </w:rPr>
              <w:t xml:space="preserve"> грн.</w:t>
            </w:r>
            <w:r w:rsidR="00456BEB" w:rsidRPr="00B7585B">
              <w:rPr>
                <w:rFonts w:ascii="Times New Roman" w:hAnsi="Times New Roman" w:cs="Times New Roman"/>
              </w:rPr>
              <w:t xml:space="preserve"> – </w:t>
            </w:r>
            <w:r w:rsidR="0042415B">
              <w:rPr>
                <w:rFonts w:ascii="Times New Roman" w:hAnsi="Times New Roman" w:cs="Times New Roman"/>
              </w:rPr>
              <w:t>в</w:t>
            </w:r>
            <w:r w:rsidR="00653190" w:rsidRPr="00653190">
              <w:rPr>
                <w:rFonts w:ascii="Times New Roman" w:hAnsi="Times New Roman" w:cs="Times New Roman"/>
              </w:rPr>
              <w:t>ласний бюджет(кошти від господарської діяльності підприємства)</w:t>
            </w:r>
            <w:r w:rsidR="004E663C" w:rsidRPr="00B7585B">
              <w:rPr>
                <w:rFonts w:ascii="Times New Roman" w:hAnsi="Times New Roman" w:cs="Times New Roman"/>
              </w:rPr>
              <w:t>;</w:t>
            </w:r>
          </w:p>
          <w:p w:rsidR="005327E9" w:rsidRPr="00B7585B" w:rsidRDefault="005327E9" w:rsidP="00BF3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82D" w:rsidRPr="00B7585B" w:rsidRDefault="00E93F23" w:rsidP="00BF39D8">
            <w:pPr>
              <w:rPr>
                <w:rFonts w:ascii="Times New Roman" w:hAnsi="Times New Roman" w:cs="Times New Roman"/>
              </w:rPr>
            </w:pPr>
            <w:r w:rsidRPr="00E93F23">
              <w:rPr>
                <w:rFonts w:ascii="Times New Roman" w:hAnsi="Times New Roman" w:cs="Times New Roman"/>
              </w:rPr>
              <w:t xml:space="preserve">Заглушка з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. різьбою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15 лат.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посилен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. Заглушка з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зов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. різьбою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15 лат.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посилен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. Заглушка з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. різьбою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20 лат.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посилен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. Заглушка з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зов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. різьбою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20 лат.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посилен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. Труба стальна 89х3,5 ДСТУ 8943:2019 Труба стальна 76х3,5 ДСТУ 8943:2019 Труба стальна 57х3,5 ДСТУ 8943:2019 Труба стальна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40х3,5 ДСТУ 8936:2019 Труба стальна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32х3,2 ДСТУ 8936:2019 Труба стальна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20х3,2 ДСТУ 8936:2019 Труба стальна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25х3,2 ДСТУ 8936:2019 Труба стальна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15х2,8 ДСТУ 8936:2019 Труба МП 16х2.0 (100 м) Труба ППР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Дn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50х6,9 скловолокно PN20 </w:t>
            </w:r>
            <w:proofErr w:type="spellStart"/>
            <w:r w:rsidRPr="00E93F23">
              <w:rPr>
                <w:rFonts w:ascii="Times New Roman" w:hAnsi="Times New Roman" w:cs="Times New Roman"/>
              </w:rPr>
              <w:t>Georg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F23">
              <w:rPr>
                <w:rFonts w:ascii="Times New Roman" w:hAnsi="Times New Roman" w:cs="Times New Roman"/>
              </w:rPr>
              <w:t>Fischer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(20) Труба ППР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Дn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25х3,5 скловолокно PN20 </w:t>
            </w:r>
            <w:proofErr w:type="spellStart"/>
            <w:r w:rsidRPr="00E93F23">
              <w:rPr>
                <w:rFonts w:ascii="Times New Roman" w:hAnsi="Times New Roman" w:cs="Times New Roman"/>
              </w:rPr>
              <w:t>Georg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F23">
              <w:rPr>
                <w:rFonts w:ascii="Times New Roman" w:hAnsi="Times New Roman" w:cs="Times New Roman"/>
              </w:rPr>
              <w:t>Fischer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(80) Труба ППР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Дn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40х5,5 скловолокно PN20 </w:t>
            </w:r>
            <w:proofErr w:type="spellStart"/>
            <w:r w:rsidRPr="00E93F23">
              <w:rPr>
                <w:rFonts w:ascii="Times New Roman" w:hAnsi="Times New Roman" w:cs="Times New Roman"/>
              </w:rPr>
              <w:t>Georg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F23">
              <w:rPr>
                <w:rFonts w:ascii="Times New Roman" w:hAnsi="Times New Roman" w:cs="Times New Roman"/>
              </w:rPr>
              <w:t>Fischer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(40) Різьба сталева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15 К (</w:t>
            </w:r>
            <w:proofErr w:type="spellStart"/>
            <w:r w:rsidRPr="00E93F23">
              <w:rPr>
                <w:rFonts w:ascii="Times New Roman" w:hAnsi="Times New Roman" w:cs="Times New Roman"/>
              </w:rPr>
              <w:t>імп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.) Різьба сталева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50 К (</w:t>
            </w:r>
            <w:proofErr w:type="spellStart"/>
            <w:r w:rsidRPr="00E93F23">
              <w:rPr>
                <w:rFonts w:ascii="Times New Roman" w:hAnsi="Times New Roman" w:cs="Times New Roman"/>
              </w:rPr>
              <w:t>імп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.) Перехід ППР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25х3/4" ВР </w:t>
            </w:r>
            <w:proofErr w:type="spellStart"/>
            <w:r w:rsidRPr="00E93F23">
              <w:rPr>
                <w:rFonts w:ascii="Times New Roman" w:hAnsi="Times New Roman" w:cs="Times New Roman"/>
              </w:rPr>
              <w:t>Georg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F23">
              <w:rPr>
                <w:rFonts w:ascii="Times New Roman" w:hAnsi="Times New Roman" w:cs="Times New Roman"/>
              </w:rPr>
              <w:t>Fischer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(25/225) Перехід ППР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25х3/4" ЗР </w:t>
            </w:r>
            <w:proofErr w:type="spellStart"/>
            <w:r w:rsidRPr="00E93F23">
              <w:rPr>
                <w:rFonts w:ascii="Times New Roman" w:hAnsi="Times New Roman" w:cs="Times New Roman"/>
              </w:rPr>
              <w:t>Georg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F23">
              <w:rPr>
                <w:rFonts w:ascii="Times New Roman" w:hAnsi="Times New Roman" w:cs="Times New Roman"/>
              </w:rPr>
              <w:t>Fischer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(40/200) Трійник ППР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25х1/2" ЗР </w:t>
            </w:r>
            <w:proofErr w:type="spellStart"/>
            <w:r w:rsidRPr="00E93F23">
              <w:rPr>
                <w:rFonts w:ascii="Times New Roman" w:hAnsi="Times New Roman" w:cs="Times New Roman"/>
              </w:rPr>
              <w:t>Formul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(75) ** Перехід ППР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50х1 1/2" ЗР п./ключ </w:t>
            </w:r>
            <w:proofErr w:type="spellStart"/>
            <w:r w:rsidRPr="00E93F23">
              <w:rPr>
                <w:rFonts w:ascii="Times New Roman" w:hAnsi="Times New Roman" w:cs="Times New Roman"/>
              </w:rPr>
              <w:t>Georg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F23">
              <w:rPr>
                <w:rFonts w:ascii="Times New Roman" w:hAnsi="Times New Roman" w:cs="Times New Roman"/>
              </w:rPr>
              <w:t>Fischer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(5/40) Муфта ППР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50х25 З-В </w:t>
            </w:r>
            <w:proofErr w:type="spellStart"/>
            <w:r w:rsidRPr="00E93F23">
              <w:rPr>
                <w:rFonts w:ascii="Times New Roman" w:hAnsi="Times New Roman" w:cs="Times New Roman"/>
              </w:rPr>
              <w:t>Georg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F23">
              <w:rPr>
                <w:rFonts w:ascii="Times New Roman" w:hAnsi="Times New Roman" w:cs="Times New Roman"/>
              </w:rPr>
              <w:t>Fischer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(25/150) Трійник ППР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50х25х50 </w:t>
            </w:r>
            <w:proofErr w:type="spellStart"/>
            <w:r w:rsidRPr="00E93F23">
              <w:rPr>
                <w:rFonts w:ascii="Times New Roman" w:hAnsi="Times New Roman" w:cs="Times New Roman"/>
              </w:rPr>
              <w:t>Georg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F23">
              <w:rPr>
                <w:rFonts w:ascii="Times New Roman" w:hAnsi="Times New Roman" w:cs="Times New Roman"/>
              </w:rPr>
              <w:t>Fischer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(5/30) Відвід сталевий 90°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Дн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89х3,2 DIN 2605 Відвід сталевий 90°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Дн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57х3 DIN 2605 Відвід </w:t>
            </w:r>
            <w:proofErr w:type="spellStart"/>
            <w:r w:rsidRPr="00E93F23">
              <w:rPr>
                <w:rFonts w:ascii="Times New Roman" w:hAnsi="Times New Roman" w:cs="Times New Roman"/>
              </w:rPr>
              <w:t>сталeвий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90°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32х2,3 DIN 2605 Відвід </w:t>
            </w:r>
            <w:proofErr w:type="spellStart"/>
            <w:r w:rsidRPr="00E93F23">
              <w:rPr>
                <w:rFonts w:ascii="Times New Roman" w:hAnsi="Times New Roman" w:cs="Times New Roman"/>
              </w:rPr>
              <w:t>сталeвий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90°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25х2,3 DIN 2605 Коліно ППР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25х90° </w:t>
            </w:r>
            <w:proofErr w:type="spellStart"/>
            <w:r w:rsidRPr="00E93F23">
              <w:rPr>
                <w:rFonts w:ascii="Times New Roman" w:hAnsi="Times New Roman" w:cs="Times New Roman"/>
              </w:rPr>
              <w:t>Georg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F23">
              <w:rPr>
                <w:rFonts w:ascii="Times New Roman" w:hAnsi="Times New Roman" w:cs="Times New Roman"/>
              </w:rPr>
              <w:t>Fischer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(50/250) Коліно ППР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25х45° </w:t>
            </w:r>
            <w:proofErr w:type="spellStart"/>
            <w:r w:rsidRPr="00E93F23">
              <w:rPr>
                <w:rFonts w:ascii="Times New Roman" w:hAnsi="Times New Roman" w:cs="Times New Roman"/>
              </w:rPr>
              <w:t>Georg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F23">
              <w:rPr>
                <w:rFonts w:ascii="Times New Roman" w:hAnsi="Times New Roman" w:cs="Times New Roman"/>
              </w:rPr>
              <w:t>Fischer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(50/300) Бочонок сталевий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15 К (</w:t>
            </w:r>
            <w:proofErr w:type="spellStart"/>
            <w:r w:rsidRPr="00E93F23">
              <w:rPr>
                <w:rFonts w:ascii="Times New Roman" w:hAnsi="Times New Roman" w:cs="Times New Roman"/>
              </w:rPr>
              <w:t>імп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.) Муфта латунна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посилен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. Муфта </w:t>
            </w:r>
            <w:r w:rsidRPr="00E93F23">
              <w:rPr>
                <w:rFonts w:ascii="Times New Roman" w:hAnsi="Times New Roman" w:cs="Times New Roman"/>
              </w:rPr>
              <w:lastRenderedPageBreak/>
              <w:t xml:space="preserve">ППР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50 </w:t>
            </w:r>
            <w:proofErr w:type="spellStart"/>
            <w:r w:rsidRPr="00E93F23">
              <w:rPr>
                <w:rFonts w:ascii="Times New Roman" w:hAnsi="Times New Roman" w:cs="Times New Roman"/>
              </w:rPr>
              <w:t>Georg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F23">
              <w:rPr>
                <w:rFonts w:ascii="Times New Roman" w:hAnsi="Times New Roman" w:cs="Times New Roman"/>
              </w:rPr>
              <w:t>Fischer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(10/70) Муфта ППР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25 </w:t>
            </w:r>
            <w:proofErr w:type="spellStart"/>
            <w:r w:rsidRPr="00E93F23">
              <w:rPr>
                <w:rFonts w:ascii="Times New Roman" w:hAnsi="Times New Roman" w:cs="Times New Roman"/>
              </w:rPr>
              <w:t>Georg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F23">
              <w:rPr>
                <w:rFonts w:ascii="Times New Roman" w:hAnsi="Times New Roman" w:cs="Times New Roman"/>
              </w:rPr>
              <w:t>Fischer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(50/350) Комплект пробок 3/4"х1" для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алюм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., біметал. та чавунних радіаторів з кронштейнами 8х170- 2шт </w:t>
            </w:r>
            <w:proofErr w:type="spellStart"/>
            <w:r w:rsidRPr="00E93F23">
              <w:rPr>
                <w:rFonts w:ascii="Times New Roman" w:hAnsi="Times New Roman" w:cs="Times New Roman"/>
              </w:rPr>
              <w:t>імп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. Кріплення д/труб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40 (47-53) М8 Кріплення д/труб </w:t>
            </w:r>
            <w:proofErr w:type="spellStart"/>
            <w:r w:rsidRPr="00E93F23">
              <w:rPr>
                <w:rFonts w:ascii="Times New Roman" w:hAnsi="Times New Roman" w:cs="Times New Roman"/>
              </w:rPr>
              <w:t>Ду</w:t>
            </w:r>
            <w:proofErr w:type="spellEnd"/>
            <w:r w:rsidRPr="00E93F23">
              <w:rPr>
                <w:rFonts w:ascii="Times New Roman" w:hAnsi="Times New Roman" w:cs="Times New Roman"/>
              </w:rPr>
              <w:t xml:space="preserve"> 20 (25-30) М8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0328B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lastRenderedPageBreak/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328BC"/>
    <w:rsid w:val="00055323"/>
    <w:rsid w:val="00055BE5"/>
    <w:rsid w:val="000669FB"/>
    <w:rsid w:val="00093A47"/>
    <w:rsid w:val="000A2569"/>
    <w:rsid w:val="000D4BA3"/>
    <w:rsid w:val="00116D97"/>
    <w:rsid w:val="00140D94"/>
    <w:rsid w:val="001963BE"/>
    <w:rsid w:val="001B647C"/>
    <w:rsid w:val="001D4038"/>
    <w:rsid w:val="001D40EF"/>
    <w:rsid w:val="002057AE"/>
    <w:rsid w:val="0024164F"/>
    <w:rsid w:val="00277B55"/>
    <w:rsid w:val="00296C38"/>
    <w:rsid w:val="002A726D"/>
    <w:rsid w:val="00320B9F"/>
    <w:rsid w:val="00340361"/>
    <w:rsid w:val="00341870"/>
    <w:rsid w:val="00355708"/>
    <w:rsid w:val="00363E56"/>
    <w:rsid w:val="003C1D82"/>
    <w:rsid w:val="0041651E"/>
    <w:rsid w:val="0042415B"/>
    <w:rsid w:val="00425F41"/>
    <w:rsid w:val="00456BEB"/>
    <w:rsid w:val="004A7AFD"/>
    <w:rsid w:val="004C6160"/>
    <w:rsid w:val="004E663C"/>
    <w:rsid w:val="004F6170"/>
    <w:rsid w:val="00521C5D"/>
    <w:rsid w:val="00523E08"/>
    <w:rsid w:val="005327E9"/>
    <w:rsid w:val="005419E7"/>
    <w:rsid w:val="00591B0D"/>
    <w:rsid w:val="005F31A3"/>
    <w:rsid w:val="00647405"/>
    <w:rsid w:val="00653190"/>
    <w:rsid w:val="006903CC"/>
    <w:rsid w:val="006B6BED"/>
    <w:rsid w:val="006F5476"/>
    <w:rsid w:val="007808A1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452BE"/>
    <w:rsid w:val="008463E4"/>
    <w:rsid w:val="008705DB"/>
    <w:rsid w:val="008941A1"/>
    <w:rsid w:val="008C1AC9"/>
    <w:rsid w:val="00906BFC"/>
    <w:rsid w:val="009602D5"/>
    <w:rsid w:val="00973DF7"/>
    <w:rsid w:val="009A4890"/>
    <w:rsid w:val="00A20B0C"/>
    <w:rsid w:val="00A63262"/>
    <w:rsid w:val="00A976ED"/>
    <w:rsid w:val="00AA299A"/>
    <w:rsid w:val="00B72D26"/>
    <w:rsid w:val="00B7585B"/>
    <w:rsid w:val="00B97200"/>
    <w:rsid w:val="00BF39D8"/>
    <w:rsid w:val="00BF4B42"/>
    <w:rsid w:val="00C14A90"/>
    <w:rsid w:val="00C4365A"/>
    <w:rsid w:val="00CD5DB5"/>
    <w:rsid w:val="00D146C3"/>
    <w:rsid w:val="00D1482D"/>
    <w:rsid w:val="00D4523A"/>
    <w:rsid w:val="00DF528C"/>
    <w:rsid w:val="00E00F06"/>
    <w:rsid w:val="00E42F0B"/>
    <w:rsid w:val="00E5328E"/>
    <w:rsid w:val="00E9263A"/>
    <w:rsid w:val="00E93F23"/>
    <w:rsid w:val="00EA3058"/>
    <w:rsid w:val="00ED0A6A"/>
    <w:rsid w:val="00EE630B"/>
    <w:rsid w:val="00F21347"/>
    <w:rsid w:val="00F6774C"/>
    <w:rsid w:val="00F7034C"/>
    <w:rsid w:val="00F779E8"/>
    <w:rsid w:val="00FC50CE"/>
    <w:rsid w:val="00FD384F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CAF0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22</cp:revision>
  <cp:lastPrinted>2021-04-21T07:42:00Z</cp:lastPrinted>
  <dcterms:created xsi:type="dcterms:W3CDTF">2023-05-18T08:30:00Z</dcterms:created>
  <dcterms:modified xsi:type="dcterms:W3CDTF">2024-12-11T06:52:00Z</dcterms:modified>
</cp:coreProperties>
</file>